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317" w:rsidRPr="00057317" w:rsidRDefault="00057317" w:rsidP="00057317">
      <w:pPr>
        <w:rPr>
          <w:rFonts w:ascii="Times New Roman" w:hAnsi="Times New Roman" w:cs="Times New Roman"/>
          <w:sz w:val="28"/>
          <w:szCs w:val="28"/>
        </w:rPr>
      </w:pPr>
      <w:bookmarkStart w:id="0" w:name="_GoBack"/>
      <w:r w:rsidRPr="00057317">
        <w:rPr>
          <w:rFonts w:ascii="Times New Roman" w:hAnsi="Times New Roman" w:cs="Times New Roman"/>
          <w:sz w:val="28"/>
          <w:szCs w:val="28"/>
        </w:rPr>
        <w:t>The Harmony of Education: Blending the Mechanical with the Meaningful</w:t>
      </w:r>
    </w:p>
    <w:bookmarkEnd w:id="0"/>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Modern education stands at a crucial point. On one side, we have mechanical approaches, which focus on technology-driven instruction, standardized testing, and structured curricula. On the other side, we find meaningful strategies that emphasize experiential learning, student engagement, and real-world relevance. Today, educators face the challenge of not just choosing between these approaches but finding ways to combine them seamlessly.</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Defining the Two Pillars</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To close the gap, we first need to grasp the strengths of each approach. Mechanical methods emphasize consistency and measurability. By using digital tools and automated assessments, educators ensure that they efficiently cover the curriculum and track progress accurately.</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Conversely, meaningful methods focus completely on the learner. These strategies aim to ignite curiosity, encourage critical thinking, and create an emotional connection to the subject. While the mechanical explains the "how" and "what," the meaningful covers the "why."</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Why Integration is Essential</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Neither approach alone is enough. A strictly mechanical classroom can feel cold and disconnected, leaving students as passive receivers of information. On the flip side, a purely experiential environment may lack the clear structure and objective standards needed for consistent growth.</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When these two elements work together, the effects are transformative:</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Efficiency Meets Depth: Technology can manage routine grading and data entry. This frees teachers to engage in deeper, more meaningful classroom discussions.</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Structure Supports Exploration: Standardized checkpoints serve as a safety net, helping teachers pinpoint exactly when a student needs more creative or hands-on support.</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The Partnership: These methods complement each other rather than oppose. Structure lays the groundwork, while exploration builds upon it.</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The Path Forward for Educators</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Shifting to this balanced model doesn't require a complete overhaul of teaching practices. It thrives through small, thoughtful changes:</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lastRenderedPageBreak/>
        <w:t>Reclaim Time: Leverage digital platforms for administrative tasks. This allows teachers to invest more time in mentorship and project-based learning.</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Evolve Assessment: Go beyond simple recall tests. Create evaluations that reflect both a student’s knowledge and the depth of their understanding.</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The Human Element: Use data to identify where a student struggles, then apply empathy to understand the reasons behind it.</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The Bigger Picture</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The main goal of education has always been to prepare learners for life's complexities, not just for exams. By thoughtfully merging mechanical efficiency with meaningful engagement, we can create classrooms where every student is accurately assessed and genuinely recognized.</w:t>
      </w:r>
    </w:p>
    <w:p w:rsidR="00057317" w:rsidRPr="00057317" w:rsidRDefault="00057317" w:rsidP="00057317">
      <w:pPr>
        <w:rPr>
          <w:rFonts w:ascii="Times New Roman" w:hAnsi="Times New Roman" w:cs="Times New Roman"/>
          <w:sz w:val="28"/>
          <w:szCs w:val="28"/>
        </w:rPr>
      </w:pPr>
      <w:r w:rsidRPr="00057317">
        <w:rPr>
          <w:rFonts w:ascii="Times New Roman" w:hAnsi="Times New Roman" w:cs="Times New Roman"/>
          <w:sz w:val="28"/>
          <w:szCs w:val="28"/>
        </w:rPr>
        <w:t>This integration is not just a fleeting trend; it is a framework for the future of effective teaching. It envisions a future where the precision of machines and the passion of human spirit come together to inspire the next generation.</w:t>
      </w:r>
    </w:p>
    <w:p w:rsidR="00057317" w:rsidRPr="00057317" w:rsidRDefault="00057317" w:rsidP="00057317">
      <w:pPr>
        <w:rPr>
          <w:rFonts w:ascii="Times New Roman" w:hAnsi="Times New Roman" w:cs="Times New Roman"/>
          <w:sz w:val="28"/>
          <w:szCs w:val="28"/>
        </w:rPr>
      </w:pPr>
    </w:p>
    <w:p w:rsidR="00057317" w:rsidRPr="00057317" w:rsidRDefault="00057317" w:rsidP="00057317">
      <w:pPr>
        <w:rPr>
          <w:rFonts w:ascii="Times New Roman" w:hAnsi="Times New Roman" w:cs="Times New Roman"/>
          <w:sz w:val="28"/>
          <w:szCs w:val="28"/>
        </w:rPr>
      </w:pPr>
    </w:p>
    <w:p w:rsidR="0030122F" w:rsidRPr="00057317" w:rsidRDefault="0030122F" w:rsidP="00057317">
      <w:pPr>
        <w:rPr>
          <w:rFonts w:ascii="Times New Roman" w:hAnsi="Times New Roman" w:cs="Times New Roman"/>
          <w:sz w:val="28"/>
          <w:szCs w:val="28"/>
        </w:rPr>
      </w:pPr>
    </w:p>
    <w:sectPr w:rsidR="0030122F" w:rsidRPr="000573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D38"/>
    <w:rsid w:val="00057317"/>
    <w:rsid w:val="0030122F"/>
    <w:rsid w:val="004413BF"/>
    <w:rsid w:val="0052663E"/>
    <w:rsid w:val="00893EDB"/>
    <w:rsid w:val="009145D1"/>
    <w:rsid w:val="009A045F"/>
    <w:rsid w:val="009D059C"/>
    <w:rsid w:val="00B0466E"/>
    <w:rsid w:val="00F94D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0A4E2-EAAE-4F46-A82F-5AD08A63F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4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2026-04-04T05:11:00Z</dcterms:created>
  <dcterms:modified xsi:type="dcterms:W3CDTF">2026-04-04T05:11:00Z</dcterms:modified>
</cp:coreProperties>
</file>